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4c53474d747c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9423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VLADIMIRA BECIĆA OSIJEK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1.484.802,85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1.566.439,03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1.451.440,29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1.662.255,13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95.816,10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18.254,02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15.944,94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18.254,02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15.944,94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111.761,04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Financijski izvještaji za razdoblje 1. siječnja do 31. prosinca 2025. godine donose se na temelju Zakona o proračunu i Pravilnika o proračunskom računovodstvu. OŠ Vladimira Becića je korisnik Državnog proračuna Republike Hrvatske i proračunski je korisnik jedinice lokalne samouprave - Grada Osijeka. Podaci za popunjavanje financijskih izvještaja dobivaju se iz Glavne knjige koju podržava informatički sustav LIBUSOFT CICOM. </w:t>
      </w:r>
    </w:p>
    <w:p>
      <w:r>
        <w:t xml:space="preserve">Škola je u izvještajnom razdoblju ostvarila manjak prihoda iz razloga što su se plaće i materijalna prava kao i računi koji se odnose na razdoblje prosinca 2025. prikazani kao rashodi 2025., a čiji će prihodi biti tek ostvareni u siječnju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1.222.582,53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1.310.266,08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Ostvareno u izvještajnom  razdoblju tekuće godine u odnosu na prethodnu godinu je veće iz razloga povećanja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8.553,15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za radne udžbenike i lektire je knjiženo na 6361, a prethodne godine na 6362.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tekuće godine škola nije ostvarila Tekuće pomoći temeljem prijenosa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tekuće godine škola nije ostvarila Tekuće prijenose između proračunskih korisnika istog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6.170,03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4.220,66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68,4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u odnosu na ostvareno u izvještajnom razdoblju prethodne godine je manje iz razloga što je škola imala manje sklopljenih ugovora za najam školske dvorane te je iz toga razloga i ostvaren prihod manji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428,6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u odnosu na ostvareno u izvještajnom razdoblju prethodne godine iz razloga što je škola ostvarila donaciju računalne opreme od fizičke osobe.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996.794,06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1.180.645,84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povećanja osnovice plaće i koeficijenata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161.602,32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190.002,92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povećanja osnovice plaće i koeficijenata plaće te su se time i doprinosi povećali.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530,8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povećanih troškova stručnog usavršavanja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36.272,65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42.994,40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poskupljena cijena energenata krajem studenog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48.146,82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26.013,86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54,0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manje od ostvarenog u izvještajnom razdoblju prethodne godine, jer je prošle godine škola imala usluge tekućeg i investicijskog održavanja i hitnih intervencija radi adaptacije školskih wc-a i sanacija krova radi prokišnjavanja.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636,8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povećanja intelektualne usluge - Procjena rizika kućne vodoopskrbne mreže prioritetnog objekta.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15.220,76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povećane potrebe za radnim udžbenicima za učenike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95.816,10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ostvaren u izvještajnom razdoblju tekuće godine je veće od ostvarenog u izvještajnom razdoblju prethodne godine radi knjiženja plaća prosinca 2025. na rashod 2025. godine, jer je ukinut konto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105.368,80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7520,4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veće od ostvarenog u izvještajnom razdoblju prethodne godine radi uvođenja konto 163/963 prilikom obračuna plaće te prikazuje potraživanje za plaću prosinca 2025. godine za koju još nisu priznati prihodi nego će biti priznati prilikom isplate plaće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9.191,70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je manje od ostvarenog u izvještajnom razdoblju prethodne godine radi manjih rashoda za nabavu udžbenika koji se knjiže na razred 4, više se nabavilo radnih udžbenika na konto 372.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18.592,62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18,8</w:t>
            </w:r>
          </w:p>
        </w:tc>
      </w:tr>
    </w:tbl>
    <w:p>
      <w:pPr>
        <w:spacing w:before="0" w:after="0"/>
      </w:pPr>
    </w:p>
    <w:p>
      <w:r>
        <w:t xml:space="preserve">Manjak prihoda i primitaka za pokriće iz 2024. je iznosio 3.484,08 EUR te se preko rezultata radio ispravak početnog stanja. U prosincu 2025. godine izvršili smo povrat neutrošenih sredstava za udžbenike korisnika socijalne skrbi iz 2023. godine koji je bio u prenesenom višku u iznosu 26,31 EUR. Preko rezultata je ispravljena i razlika u potraživanju i povratu bolovanja iz prijašnjih razdoblja u iznosu 23,56 EUR, utvrđeno je da je potraživanje i obveza za bolovanje zatvorena jedino je obveza za povrat ostala otvorena te je ispravljeno preko rezultata. Iz tog razgloga manjak prihoda - preneseni iznosa sada 3.486,83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115.247,87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3307,8</w:t>
            </w:r>
          </w:p>
        </w:tc>
      </w:tr>
    </w:tbl>
    <w:p>
      <w:pPr>
        <w:spacing w:before="0" w:after="0"/>
      </w:pPr>
    </w:p>
    <w:p>
      <w:r>
        <w:t xml:space="preserve">Ostvaren manjak prihoda za pokriće u sljedećem razdoblju u izvještajnom razdoblju tekuće godine je veće od ostvarenog u izvještajnom razdoblju prethodne godine radi knjiženja plaća i računa prosinca 2025. na teret rashoda 2025. godine, koji će biti pokriven u siječnju 2026. godine, tzv. metodološki manjak.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sitnog inventara i autoguma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31.562,12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32.283,89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102,3</w:t>
            </w:r>
          </w:p>
        </w:tc>
      </w:tr>
    </w:tbl>
    <w:p>
      <w:pPr>
        <w:spacing w:before="0" w:after="0"/>
      </w:pPr>
    </w:p>
    <w:p>
      <w:r>
        <w:t xml:space="preserve">Sitan inventar u upotrebi je u ukupnom iznosu iz 2025. proveden ispravak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8,6</w:t>
            </w:r>
          </w:p>
        </w:tc>
      </w:tr>
    </w:tbl>
    <w:p>
      <w:pPr>
        <w:spacing w:before="0" w:after="0"/>
      </w:pPr>
    </w:p>
    <w:p>
      <w:r>
        <w:t xml:space="preserve">Potraživanje 129 na stanje 31. prosinca 2025. se odnosi na potraživanje HZZO za refundaciju bolovanja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101.010,94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pomoći je konto koji se počeo koristiti u 2025. godini prilikom dobivanja pomoći od MZO, stanje 31. prosinca 2025. se odnosi na plaće, naknade za nezapošljavanje OSI i materijalna prava prosinca 2025. za koje ćemo prihode ostvariti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401,7</w:t>
            </w:r>
          </w:p>
        </w:tc>
      </w:tr>
    </w:tbl>
    <w:p>
      <w:pPr>
        <w:spacing w:before="0" w:after="0"/>
      </w:pPr>
    </w:p>
    <w:p>
      <w:r>
        <w:t xml:space="preserve">Potraživanja na konto 165 su veća jer smo zadali račun za prosinac 2025. zaključno sa 31.12.2025., a prošle godine smo izdali i knjižili račun u siječnju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15.342,38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7.968,47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Račun 167 s 31.12.2025. pokazuje stanje korisnika s kojim raspolaže u proračunu Grada Osijeka na jedinstvenom računu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96.541,94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Račun 193 se ukinio sa 01.01.2025.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-3.484,08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-115.247,87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3307,8</w:t>
            </w:r>
          </w:p>
        </w:tc>
      </w:tr>
    </w:tbl>
    <w:p>
      <w:pPr>
        <w:spacing w:before="0" w:after="0"/>
      </w:pPr>
    </w:p>
    <w:p>
      <w:r>
        <w:t xml:space="preserve">Manjak na 31. prosinca 2025. je veći u odnosu na stanje 1. siječnja 2025. jer su plaće i računi prosinca 2025. prikazani kao rashod 2025., a prihod ćemo dobiti tek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101.010,94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Obračunate pomoći je konto koji se počeo koristiti u 2025. godini prilikom dobivanja pomoći od MZO, stanje 31. prosinca 2025. se odnosi na plaće, naknade za nezapošljavanje OSI i materijalna prava prosinca 2025. za koje ćemo prihode ostvariti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401,7</w:t>
            </w:r>
          </w:p>
        </w:tc>
      </w:tr>
    </w:tbl>
    <w:p>
      <w:pPr>
        <w:spacing w:before="0" w:after="0"/>
      </w:pPr>
    </w:p>
    <w:p>
      <w:r>
        <w:t xml:space="preserve">Obračunati prihodi na računu 965 su veći jer smo zadali račun za prosinac 2025. zaključno sa 31.12.2025., a prošle godine smo izdali i knjižili račun u siječnju 2025. godine, a uplata će biti tek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1.469.694,31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1.678.200,07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Ostvarneo u izvještajnom razdoblju tekuće godine se odnosi na ukupne rashode razreda 3 i razreda 4.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23.130,26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dugotrajne nefinancijske imovine odnose se na obračun ispravka vrijednosti dugotrajne imovine koji se prema izmjenama Pravilnika o proračunskom računovodstvu prikazuje i kroz konta 915 te se kroz iznos smanjenja unosi iznos ispravka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23 i 27 se nalazi pod nedospjelim obvezama.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123.216,34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nedospjelih obveza se odnosi na obveze za plaće i materijalna prava djelatnika, kao i za obveze za rashode računa prosinca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se odnosi na obvezu Bolovanja na teret HZZO koja nije zatvorena.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1391be6e24ef4" /></Relationships>
</file>