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7F" w:rsidRPr="00663795" w:rsidRDefault="001A767F" w:rsidP="006637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795">
        <w:rPr>
          <w:rFonts w:ascii="Times New Roman" w:hAnsi="Times New Roman" w:cs="Times New Roman"/>
          <w:b/>
          <w:sz w:val="24"/>
          <w:szCs w:val="24"/>
        </w:rPr>
        <w:t>OŠ VLADIMIRA BECIĆA OSIJEK</w:t>
      </w:r>
    </w:p>
    <w:p w:rsidR="001A767F" w:rsidRPr="00663795" w:rsidRDefault="001A767F" w:rsidP="0066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95">
        <w:rPr>
          <w:rFonts w:ascii="Times New Roman" w:hAnsi="Times New Roman" w:cs="Times New Roman"/>
          <w:sz w:val="24"/>
          <w:szCs w:val="24"/>
        </w:rPr>
        <w:t>Vijenac Augusta Cesarca 36</w:t>
      </w:r>
    </w:p>
    <w:p w:rsidR="001A767F" w:rsidRPr="00663795" w:rsidRDefault="001A767F" w:rsidP="0066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95">
        <w:rPr>
          <w:rFonts w:ascii="Times New Roman" w:hAnsi="Times New Roman" w:cs="Times New Roman"/>
          <w:sz w:val="24"/>
          <w:szCs w:val="24"/>
        </w:rPr>
        <w:t>31000 Osijek</w:t>
      </w:r>
    </w:p>
    <w:p w:rsidR="001A767F" w:rsidRPr="00663795" w:rsidRDefault="001A767F" w:rsidP="0066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95">
        <w:rPr>
          <w:rFonts w:ascii="Times New Roman" w:hAnsi="Times New Roman" w:cs="Times New Roman"/>
          <w:sz w:val="24"/>
          <w:szCs w:val="24"/>
        </w:rPr>
        <w:t>OIB: 81418806612</w:t>
      </w:r>
    </w:p>
    <w:p w:rsidR="001A767F" w:rsidRPr="00663795" w:rsidRDefault="001A767F" w:rsidP="0066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95">
        <w:rPr>
          <w:rFonts w:ascii="Times New Roman" w:hAnsi="Times New Roman" w:cs="Times New Roman"/>
          <w:sz w:val="24"/>
          <w:szCs w:val="24"/>
        </w:rPr>
        <w:t>RKP: 9423</w:t>
      </w:r>
    </w:p>
    <w:p w:rsidR="001A767F" w:rsidRPr="00663795" w:rsidRDefault="001A767F" w:rsidP="0066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95">
        <w:rPr>
          <w:rFonts w:ascii="Times New Roman" w:hAnsi="Times New Roman" w:cs="Times New Roman"/>
          <w:sz w:val="24"/>
          <w:szCs w:val="24"/>
        </w:rPr>
        <w:t>Razina: 31, šifra djelatnosti: 8520</w:t>
      </w:r>
    </w:p>
    <w:p w:rsidR="001A767F" w:rsidRPr="00663795" w:rsidRDefault="001A767F" w:rsidP="006637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GODIŠNJI IZVJEŠTAJ O IZVRŠENJU FINANCIJSKOG PLANA O</w:t>
      </w:r>
      <w:r w:rsidR="00663795"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Š </w:t>
      </w:r>
      <w:r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VLADIMIRA BECIĆA OSIJEK ZA RAZDOBLJE OD 01.01.2025. DO 31.12.2025. GODINE</w:t>
      </w:r>
    </w:p>
    <w:p w:rsidR="001A767F" w:rsidRPr="00663795" w:rsidRDefault="001A767F" w:rsidP="00663795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Obrazloženje općeg i posebnog dijela</w:t>
      </w:r>
    </w:p>
    <w:p w:rsidR="001A767F" w:rsidRPr="00663795" w:rsidRDefault="001A767F" w:rsidP="00663795">
      <w:pPr>
        <w:spacing w:after="0" w:line="240" w:lineRule="auto"/>
        <w:ind w:right="119" w:firstLine="426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1A767F" w:rsidRDefault="001A767F" w:rsidP="00663795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Godišnji izvještaj o izvršenju proračuna odnosno financijskog plana za 2025. izrađuje se prema odredbama Zakona o proračunu (Narodne novine, br. 144/21) temeljem</w:t>
      </w:r>
      <w:r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članaka 81.-86. i Pravilnika o polugodišnjem i godišnjem izvještaju o izvršenju proračuna i financijskog plana (Narodne novine, br. 85/23)</w:t>
      </w: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:rsidR="00663795" w:rsidRPr="00663795" w:rsidRDefault="00663795" w:rsidP="00663795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95">
        <w:rPr>
          <w:rFonts w:ascii="Times New Roman" w:hAnsi="Times New Roman" w:cs="Times New Roman"/>
          <w:sz w:val="24"/>
          <w:szCs w:val="24"/>
        </w:rPr>
        <w:t>Izvještaj usvaja upravljačko</w:t>
      </w:r>
      <w:r w:rsidR="00663795">
        <w:rPr>
          <w:rFonts w:ascii="Times New Roman" w:hAnsi="Times New Roman" w:cs="Times New Roman"/>
          <w:sz w:val="24"/>
          <w:szCs w:val="24"/>
        </w:rPr>
        <w:t xml:space="preserve"> tijelo, odnosno Školski odbor. </w:t>
      </w:r>
      <w:r w:rsidRPr="00663795">
        <w:rPr>
          <w:rFonts w:ascii="Times New Roman" w:hAnsi="Times New Roman" w:cs="Times New Roman"/>
          <w:sz w:val="24"/>
          <w:szCs w:val="24"/>
        </w:rPr>
        <w:t>Izvještaj o izvršenju financijskog plana prati jesu li se i u kojim iznosima ostvarile planirane pozicije prihoda, primitaka, rashoda, izdataka, viškova i manjkova unutar jedne godine.</w:t>
      </w:r>
    </w:p>
    <w:p w:rsidR="001A767F" w:rsidRPr="00663795" w:rsidRDefault="001A767F" w:rsidP="00663795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663795" w:rsidP="00663795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Godišnji</w:t>
      </w:r>
      <w:r w:rsidR="001A767F"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izvještaj o izvršenju financijskog plana sadrži:</w:t>
      </w:r>
    </w:p>
    <w:p w:rsidR="001A767F" w:rsidRPr="00663795" w:rsidRDefault="001A767F" w:rsidP="00663795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pStyle w:val="Odlomakpopisa"/>
        <w:numPr>
          <w:ilvl w:val="0"/>
          <w:numId w:val="1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 xml:space="preserve">Opći dio: </w:t>
      </w:r>
    </w:p>
    <w:p w:rsidR="001A767F" w:rsidRPr="00663795" w:rsidRDefault="001A767F" w:rsidP="00663795">
      <w:pPr>
        <w:pStyle w:val="Odlomakpopisa"/>
        <w:numPr>
          <w:ilvl w:val="0"/>
          <w:numId w:val="2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Sažetak Računa prihoda i rashoda i Račun financiranja</w:t>
      </w:r>
    </w:p>
    <w:p w:rsidR="001A767F" w:rsidRPr="00663795" w:rsidRDefault="001A767F" w:rsidP="00663795">
      <w:pPr>
        <w:pStyle w:val="Odlomakpopisa"/>
        <w:numPr>
          <w:ilvl w:val="0"/>
          <w:numId w:val="2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Račun prihoda i rashoda</w:t>
      </w:r>
    </w:p>
    <w:p w:rsidR="001A767F" w:rsidRPr="00663795" w:rsidRDefault="001A767F" w:rsidP="00663795">
      <w:pPr>
        <w:pStyle w:val="Odlomakpopisa"/>
        <w:numPr>
          <w:ilvl w:val="0"/>
          <w:numId w:val="2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Račun financiranja</w:t>
      </w:r>
    </w:p>
    <w:p w:rsidR="001A767F" w:rsidRPr="00663795" w:rsidRDefault="001A767F" w:rsidP="00663795">
      <w:pPr>
        <w:pStyle w:val="Odlomakpopisa"/>
        <w:ind w:left="1788" w:right="-23"/>
        <w:jc w:val="both"/>
        <w:rPr>
          <w:noProof/>
        </w:rPr>
      </w:pPr>
    </w:p>
    <w:p w:rsidR="001A767F" w:rsidRPr="00663795" w:rsidRDefault="001A767F" w:rsidP="00663795">
      <w:pPr>
        <w:pStyle w:val="Odlomakpopisa"/>
        <w:numPr>
          <w:ilvl w:val="0"/>
          <w:numId w:val="1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Posebni dio:</w:t>
      </w:r>
    </w:p>
    <w:p w:rsidR="001A767F" w:rsidRPr="00663795" w:rsidRDefault="001A767F" w:rsidP="00663795">
      <w:pPr>
        <w:pStyle w:val="Odlomakpopisa"/>
        <w:numPr>
          <w:ilvl w:val="0"/>
          <w:numId w:val="3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plan rashoda i izdataka po programskoj i ekonomskoj klasifikaciji te izvorima financiranja</w:t>
      </w:r>
    </w:p>
    <w:p w:rsidR="001A767F" w:rsidRPr="00663795" w:rsidRDefault="001A767F" w:rsidP="00663795">
      <w:pPr>
        <w:pStyle w:val="Odlomakpopisa"/>
        <w:ind w:left="1788" w:right="-23"/>
        <w:jc w:val="both"/>
        <w:rPr>
          <w:noProof/>
        </w:rPr>
      </w:pPr>
    </w:p>
    <w:p w:rsidR="001A767F" w:rsidRPr="00663795" w:rsidRDefault="001A767F" w:rsidP="00663795">
      <w:pPr>
        <w:pStyle w:val="Odlomakpopisa"/>
        <w:numPr>
          <w:ilvl w:val="0"/>
          <w:numId w:val="1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Obrazloženje izvještaja o izvršenju financijskog plana</w:t>
      </w:r>
    </w:p>
    <w:p w:rsidR="001A767F" w:rsidRPr="00663795" w:rsidRDefault="001A767F" w:rsidP="00663795">
      <w:pPr>
        <w:pStyle w:val="Odlomakpopisa"/>
        <w:ind w:left="1068" w:right="-23"/>
        <w:jc w:val="both"/>
        <w:rPr>
          <w:noProof/>
        </w:rPr>
      </w:pPr>
    </w:p>
    <w:p w:rsidR="001A767F" w:rsidRPr="00663795" w:rsidRDefault="001A767F" w:rsidP="00663795">
      <w:pPr>
        <w:pStyle w:val="Odlomakpopisa"/>
        <w:numPr>
          <w:ilvl w:val="0"/>
          <w:numId w:val="1"/>
        </w:numPr>
        <w:ind w:right="-23"/>
        <w:contextualSpacing w:val="0"/>
        <w:jc w:val="both"/>
        <w:rPr>
          <w:noProof/>
        </w:rPr>
      </w:pPr>
      <w:r w:rsidRPr="00663795">
        <w:rPr>
          <w:noProof/>
        </w:rPr>
        <w:t>Posebne izvještaje:</w:t>
      </w:r>
    </w:p>
    <w:p w:rsidR="001A767F" w:rsidRPr="00663795" w:rsidRDefault="001A767F" w:rsidP="00663795">
      <w:pPr>
        <w:pStyle w:val="Odlomakpopisa"/>
        <w:ind w:left="1068" w:right="-23"/>
        <w:jc w:val="both"/>
        <w:rPr>
          <w:noProof/>
        </w:rPr>
      </w:pPr>
      <w:r w:rsidRPr="00663795">
        <w:rPr>
          <w:noProof/>
        </w:rPr>
        <w:t>Izvještaj o zaduživanju na domaćem i stranom tržištu novca i kapitala</w:t>
      </w:r>
    </w:p>
    <w:p w:rsidR="001A767F" w:rsidRPr="00663795" w:rsidRDefault="001A767F" w:rsidP="00663795">
      <w:pPr>
        <w:pStyle w:val="Odlomakpopisa"/>
        <w:ind w:left="1068" w:right="-23"/>
        <w:jc w:val="both"/>
        <w:rPr>
          <w:noProof/>
        </w:rPr>
      </w:pPr>
      <w:r w:rsidRPr="00663795">
        <w:rPr>
          <w:noProof/>
        </w:rPr>
        <w:t>Izvještaj o korištenju sredstava fondova Europske unije</w:t>
      </w:r>
    </w:p>
    <w:p w:rsidR="001A767F" w:rsidRPr="00663795" w:rsidRDefault="001A767F" w:rsidP="00663795">
      <w:pPr>
        <w:pStyle w:val="Odlomakpopisa"/>
        <w:ind w:left="1068" w:right="-23"/>
        <w:jc w:val="both"/>
        <w:rPr>
          <w:noProof/>
        </w:rPr>
      </w:pPr>
      <w:r w:rsidRPr="00663795">
        <w:rPr>
          <w:noProof/>
        </w:rPr>
        <w:t>Izvještaj o danim zajmovima i potraživanjima po danim zajmovima</w:t>
      </w:r>
    </w:p>
    <w:p w:rsidR="001A767F" w:rsidRPr="00663795" w:rsidRDefault="001A767F" w:rsidP="00663795">
      <w:pPr>
        <w:pStyle w:val="Odlomakpopisa"/>
        <w:ind w:left="1068" w:right="-23"/>
        <w:jc w:val="both"/>
        <w:rPr>
          <w:noProof/>
        </w:rPr>
      </w:pPr>
      <w:r w:rsidRPr="00663795">
        <w:rPr>
          <w:noProof/>
        </w:rPr>
        <w:t>Izvještaj o stanju potraživanja i dospjelih obveza te o stanju potencijalnih obveza po osnovi sudskih sporova</w:t>
      </w:r>
    </w:p>
    <w:p w:rsidR="001A767F" w:rsidRPr="00663795" w:rsidRDefault="001A767F" w:rsidP="00663795">
      <w:pPr>
        <w:pStyle w:val="Odlomakpopisa"/>
        <w:ind w:left="1068" w:right="-23"/>
        <w:jc w:val="both"/>
        <w:rPr>
          <w:noProof/>
        </w:rPr>
      </w:pPr>
      <w:r w:rsidRPr="00663795">
        <w:rPr>
          <w:noProof/>
        </w:rPr>
        <w:t>Izvještaj o danim jamstvima i plaćanjima po protestiranim jamstvima (opcionalno).</w:t>
      </w:r>
    </w:p>
    <w:p w:rsidR="001A767F" w:rsidRPr="00663795" w:rsidRDefault="001A767F" w:rsidP="00663795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Default="001A767F" w:rsidP="006637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3795" w:rsidRPr="00663795" w:rsidRDefault="00663795" w:rsidP="006637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767F" w:rsidRPr="00663795" w:rsidRDefault="001A767F" w:rsidP="00663795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795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OPĆEG DIJELA IZVJEŠTAJA O IZVRŠENJU FINANCIJSKOG PLANA</w:t>
      </w:r>
    </w:p>
    <w:p w:rsidR="001A767F" w:rsidRPr="00663795" w:rsidRDefault="001A767F" w:rsidP="00663795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67F" w:rsidRPr="00663795" w:rsidRDefault="001A767F" w:rsidP="00663795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795">
        <w:rPr>
          <w:rFonts w:ascii="Times New Roman" w:hAnsi="Times New Roman" w:cs="Times New Roman"/>
          <w:b/>
          <w:bCs/>
          <w:sz w:val="24"/>
          <w:szCs w:val="24"/>
        </w:rPr>
        <w:t>Prihodi i primitci</w:t>
      </w:r>
    </w:p>
    <w:p w:rsidR="001A767F" w:rsidRPr="00663795" w:rsidRDefault="001A767F" w:rsidP="00663795">
      <w:pPr>
        <w:pStyle w:val="box463272"/>
        <w:spacing w:before="0" w:beforeAutospacing="0" w:after="0"/>
        <w:ind w:firstLine="510"/>
        <w:jc w:val="both"/>
        <w:rPr>
          <w:noProof/>
        </w:rPr>
      </w:pPr>
      <w:bookmarkStart w:id="0" w:name="_Hlk140598541"/>
      <w:r w:rsidRPr="00663795">
        <w:rPr>
          <w:noProof/>
        </w:rPr>
        <w:t>U razdoblju od 01.01.2025. do 31.12.2025. godine ostvareno je prihoda poslovanja u iznosu od 1.566.439,03 EUR što čini 90,47 % planiranih prihoda za 2025. godinu.</w:t>
      </w:r>
    </w:p>
    <w:bookmarkEnd w:id="0"/>
    <w:p w:rsidR="001A767F" w:rsidRPr="00663795" w:rsidRDefault="001A767F" w:rsidP="00663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poslovanja</w:t>
      </w:r>
    </w:p>
    <w:p w:rsidR="001A767F" w:rsidRPr="00663795" w:rsidRDefault="001A767F" w:rsidP="00663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Pomoći iz inozemstva i od subjekata unutar općeg proračuna 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1.310.266,08 EUR što je 89,79 % planiranih sredstava za 2025. godinu.</w:t>
      </w: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Ostvareni prihodi odnose se na prihode za plaće i prijevoz djelatnika, naknade za invalide, jubilarne nagrade, pomoći za bolovanje duže od 90 dana i pomoći u slučaju smrti člana obitelji zaposlenika, regres, božićnice, otpremnine i dr., nabavu udžbenika i radnih </w:t>
      </w:r>
      <w:r w:rsid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udžbenika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učenike škole kao i besplatnu prehranu (školska kuhinja) financirano od strane Ministarstva znanosti i obrazovanja. Osim toga, ostvareni su prihodi i za županijsko natjecanja iz likovne kulture.</w:t>
      </w:r>
    </w:p>
    <w:p w:rsidR="001A767F" w:rsidRPr="00663795" w:rsidRDefault="001A767F" w:rsidP="00663795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:rsidR="00663795" w:rsidRDefault="001A767F" w:rsidP="00663795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Prihodi od upravnih i administrativnih pristojbi, po posebnim propisima i naknada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iznose 27.366,46 EUR što je 90,84 % planir</w:t>
      </w:r>
      <w:r w:rsid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anih sredstava za 2025. godinu.  </w:t>
      </w:r>
    </w:p>
    <w:p w:rsidR="001A767F" w:rsidRPr="00663795" w:rsidRDefault="001A767F" w:rsidP="0066379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odnose se na sredstva za financiranje plaća učiteljicama u produženom boravku od strane roditelja, financiranje usluga toplog obroka u produženom boravku te prihode s naslova osiguranja i refundacije štete.</w:t>
      </w:r>
    </w:p>
    <w:p w:rsidR="001A767F" w:rsidRPr="00663795" w:rsidRDefault="001A767F" w:rsidP="00663795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Prihodi od prodaje proizvoda i roba te pruženih usluga i prihoda od donacija 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iznose 11.750,78 EUR što je 81,49 % planiranih sredstava za 2025. godinu. </w:t>
      </w:r>
    </w:p>
    <w:p w:rsidR="001A767F" w:rsidRPr="00663795" w:rsidRDefault="001A767F" w:rsidP="0066379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odnose se na prihode od iznajmljivanja dvorane i prostora škole fizičkim i pravnim osobama sukladno izdanim ugovorima te ostvarenih donacija za učeničke ekskurzije i donacija fizičkih i pravnih osoba za opremanje škole.</w:t>
      </w:r>
    </w:p>
    <w:p w:rsidR="001A767F" w:rsidRPr="00663795" w:rsidRDefault="001A767F" w:rsidP="00663795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Prihodi iz nadležnog proračuna i od HZZO-a temeljem ugovornih obveza 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217.055,71 EUR što je 95,35 % planiranih sredstava za 2025. godinu.</w:t>
      </w:r>
    </w:p>
    <w:p w:rsidR="001A767F" w:rsidRPr="00663795" w:rsidRDefault="001A767F" w:rsidP="00663795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su prihodi od Grada Osijeka za financiranje rashoda temeljem kriterija, temeljem stvarnih troškova,  Školske sheme (nabava mlijeka i mliječnih proizvoda te voća i voćnih proizvoda), financiranje plaća za učitelje produženog boravka kao i njihova materijalna prava te plaća pomoćnika u nastavi preko projekta Osigurajmo im jednakost 8. Također, osigurava i prihode za uređenja i opremanja škole, tekuće i investicijsko održavanje i hitne intervencija.</w:t>
      </w:r>
    </w:p>
    <w:p w:rsidR="001A767F" w:rsidRPr="00663795" w:rsidRDefault="001A767F" w:rsidP="00663795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A767F" w:rsidRPr="00663795" w:rsidRDefault="001A767F" w:rsidP="00663795">
      <w:pPr>
        <w:tabs>
          <w:tab w:val="left" w:pos="40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od prodaje nefinancijske imovine</w:t>
      </w:r>
    </w:p>
    <w:p w:rsidR="001A767F" w:rsidRPr="00663795" w:rsidRDefault="001A767F" w:rsidP="00663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t>Prihodi od prodaje nefinancijske imovine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0,00 EUR</w:t>
      </w: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je 0% planiranih sredstava za 2025. godinu.</w:t>
      </w:r>
    </w:p>
    <w:p w:rsidR="001A767F" w:rsidRDefault="001A767F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3795" w:rsidRDefault="00663795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3795" w:rsidRDefault="00663795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3795" w:rsidRDefault="00663795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3795" w:rsidRPr="00663795" w:rsidRDefault="00663795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Rashodi i izdatci</w:t>
      </w: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67F" w:rsidRPr="00663795" w:rsidRDefault="001A767F" w:rsidP="00663795">
      <w:pPr>
        <w:pStyle w:val="box463272"/>
        <w:spacing w:before="0" w:beforeAutospacing="0" w:after="0"/>
        <w:ind w:firstLine="510"/>
        <w:jc w:val="both"/>
        <w:rPr>
          <w:noProof/>
        </w:rPr>
      </w:pPr>
      <w:r w:rsidRPr="00663795">
        <w:rPr>
          <w:noProof/>
        </w:rPr>
        <w:t>U razdoblju od 01.01.2025. do 31.12.2025. godine ostvareno je rashoda poslovanja u iznosu od 1.662.255,13 EUR što čini 96,51 % planiranih rashoda poslovanja za 2025. godinu i rashoda za nabavu nefinancijske imovine u iznosu od 15.944,94 EUR što čini 75,90 % planiranih rashoda za nabavu nefinancijske imovine.</w:t>
      </w: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1A767F" w:rsidRPr="00663795" w:rsidRDefault="001A767F" w:rsidP="00663795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3795" w:rsidRDefault="001A767F" w:rsidP="00663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zaposlene</w:t>
      </w: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od 1.414.554,04 EUR što je 97,19 % planiranih rashoda za 2025. godinu. </w:t>
      </w: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Rashodi se odnose na financiranje plaća i ostalih rashoda za zaposlene u Osnovnoj školi Vladimira Becića Osijek neovisno o izvorima iz kojih se isti financiraju.</w:t>
      </w:r>
    </w:p>
    <w:p w:rsidR="001A767F" w:rsidRPr="00663795" w:rsidRDefault="001A767F" w:rsidP="00663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663795" w:rsidRDefault="001A767F" w:rsidP="00663795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Materijalni rashodi</w:t>
      </w: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od 228.905,59 EUR što je 92,27 % planiranih rashoda za 2025. godinu. </w:t>
      </w:r>
    </w:p>
    <w:p w:rsidR="00663795" w:rsidRDefault="001A767F" w:rsidP="00663795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hAnsi="Times New Roman" w:cs="Times New Roman"/>
          <w:sz w:val="24"/>
          <w:szCs w:val="24"/>
        </w:rPr>
        <w:t>Rashodi se odnose na financiranje naknada troškova zaposlenima, rashoda za materijal i energiju, rashoda za usluge te ostale nespomenute rashode poslovanja.</w:t>
      </w:r>
    </w:p>
    <w:p w:rsidR="00663795" w:rsidRPr="00663795" w:rsidRDefault="00663795" w:rsidP="00663795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67F" w:rsidRPr="00663795" w:rsidRDefault="001A767F" w:rsidP="00663795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Financijski rashodi </w:t>
      </w: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u iznosu od 0,00 eura što je 0,00 % planiranih sredstava u 2025. godini. </w:t>
      </w:r>
    </w:p>
    <w:p w:rsidR="00663795" w:rsidRPr="00663795" w:rsidRDefault="001A767F" w:rsidP="00663795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Naknade građanima i kućanstvima na temelju osiguranja i druge naknade </w:t>
      </w:r>
      <w:r w:rsidRP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ostvareni su u iznosu od 18.097,50 </w:t>
      </w:r>
      <w:r w:rsid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r w:rsidRP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što je 99,84 % planiranih sredstava u 2025. godinu, a odnose se na nabavu radnih udžbenika za učenike škole za školsku godinu 2025./2026. </w:t>
      </w:r>
    </w:p>
    <w:p w:rsidR="001A767F" w:rsidRPr="00663795" w:rsidRDefault="001A767F" w:rsidP="00663795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Rashodi za donacije, kazne, naknade šteta i kapitalne pomoći</w:t>
      </w:r>
      <w:r w:rsidRP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ostvareni su u iznosu od 698,00 EUR što je 99,86% planiranih sredstava u 2025. godini, </w:t>
      </w:r>
      <w:r w:rsid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a</w:t>
      </w:r>
      <w:r w:rsidRP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odnose </w:t>
      </w:r>
      <w:r w:rsid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se </w:t>
      </w:r>
      <w:r w:rsidRPr="006637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na nabavu higijenskih menstrualnih potrepština za djevojčice škole.</w:t>
      </w:r>
    </w:p>
    <w:p w:rsidR="001A767F" w:rsidRPr="00663795" w:rsidRDefault="001A767F" w:rsidP="00663795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</w:p>
    <w:p w:rsidR="001A767F" w:rsidRPr="00663795" w:rsidRDefault="001A767F" w:rsidP="00663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3795" w:rsidRDefault="001A767F" w:rsidP="00663795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iznosu 15.944,94 EUR što čini 75,90 % planiranih sredstava u 2025. godini.</w:t>
      </w: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se odnose na opremanje škole namještajem, računalima i računalnom opremom te drugom potrebnom opremom i uređajima.</w:t>
      </w: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795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za 2025. godinu ostvaren je manjak prihoda i primitaka u iznosu 115.247,87 EUR i nastao je zbog knjiženja plaća MZO, pomoćnika u nastavi i produženog boravka na rashode prosinca 2025., kao i račune koji se odnose na prosinac 2025., a prihodi će se priznati tek u siječnju 2026. prilikom isplate plaće i plaćenih računa.</w:t>
      </w:r>
    </w:p>
    <w:p w:rsidR="001A767F" w:rsidRPr="00663795" w:rsidRDefault="001A767F" w:rsidP="00663795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67F" w:rsidRPr="00663795" w:rsidRDefault="001A767F" w:rsidP="00663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E5B4F" w:rsidRDefault="00FC3C87" w:rsidP="00663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Osijeku, 25.03.2026.</w:t>
      </w:r>
    </w:p>
    <w:p w:rsidR="00FC3C87" w:rsidRDefault="00FC3C87" w:rsidP="00FC3C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FC3C87" w:rsidRDefault="00FC3C87" w:rsidP="00FC3C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Zrinka Šabić</w:t>
      </w:r>
    </w:p>
    <w:p w:rsidR="00FC3C87" w:rsidRPr="00663795" w:rsidRDefault="00FC3C87" w:rsidP="00FC3C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bookmarkStart w:id="1" w:name="_GoBack"/>
      <w:bookmarkEnd w:id="1"/>
    </w:p>
    <w:sectPr w:rsidR="00FC3C87" w:rsidRPr="006637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3F3" w:rsidRDefault="008233F3" w:rsidP="001A767F">
      <w:pPr>
        <w:spacing w:after="0" w:line="240" w:lineRule="auto"/>
      </w:pPr>
      <w:r>
        <w:separator/>
      </w:r>
    </w:p>
  </w:endnote>
  <w:endnote w:type="continuationSeparator" w:id="0">
    <w:p w:rsidR="008233F3" w:rsidRDefault="008233F3" w:rsidP="001A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895027"/>
      <w:docPartObj>
        <w:docPartGallery w:val="Page Numbers (Bottom of Page)"/>
        <w:docPartUnique/>
      </w:docPartObj>
    </w:sdtPr>
    <w:sdtEndPr/>
    <w:sdtContent>
      <w:p w:rsidR="00663795" w:rsidRDefault="0066379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87">
          <w:rPr>
            <w:noProof/>
          </w:rPr>
          <w:t>3</w:t>
        </w:r>
        <w:r>
          <w:fldChar w:fldCharType="end"/>
        </w:r>
      </w:p>
    </w:sdtContent>
  </w:sdt>
  <w:p w:rsidR="00663795" w:rsidRDefault="0066379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3F3" w:rsidRDefault="008233F3" w:rsidP="001A767F">
      <w:pPr>
        <w:spacing w:after="0" w:line="240" w:lineRule="auto"/>
      </w:pPr>
      <w:r>
        <w:separator/>
      </w:r>
    </w:p>
  </w:footnote>
  <w:footnote w:type="continuationSeparator" w:id="0">
    <w:p w:rsidR="008233F3" w:rsidRDefault="008233F3" w:rsidP="001A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E0F94"/>
    <w:multiLevelType w:val="hybridMultilevel"/>
    <w:tmpl w:val="B8EE22D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D927274"/>
    <w:multiLevelType w:val="hybridMultilevel"/>
    <w:tmpl w:val="33B8A8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2D52C0E"/>
    <w:multiLevelType w:val="hybridMultilevel"/>
    <w:tmpl w:val="86A4E3E0"/>
    <w:lvl w:ilvl="0" w:tplc="9E42D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7F"/>
    <w:rsid w:val="000A209D"/>
    <w:rsid w:val="0016683E"/>
    <w:rsid w:val="001A767F"/>
    <w:rsid w:val="005E5B4F"/>
    <w:rsid w:val="00663795"/>
    <w:rsid w:val="008233F3"/>
    <w:rsid w:val="00FC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8C1F-40A4-4296-97C9-1BEDF0B1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76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3272">
    <w:name w:val="box_463272"/>
    <w:basedOn w:val="Normal"/>
    <w:rsid w:val="001A767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A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767F"/>
  </w:style>
  <w:style w:type="paragraph" w:styleId="Podnoje">
    <w:name w:val="footer"/>
    <w:basedOn w:val="Normal"/>
    <w:link w:val="PodnojeChar"/>
    <w:uiPriority w:val="99"/>
    <w:unhideWhenUsed/>
    <w:rsid w:val="001A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767F"/>
  </w:style>
  <w:style w:type="paragraph" w:styleId="Tekstbalonia">
    <w:name w:val="Balloon Text"/>
    <w:basedOn w:val="Normal"/>
    <w:link w:val="TekstbaloniaChar"/>
    <w:uiPriority w:val="99"/>
    <w:semiHidden/>
    <w:unhideWhenUsed/>
    <w:rsid w:val="00663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4CA1-D286-44AC-8D8B-33BFCAE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cp:lastPrinted>2026-03-26T10:14:00Z</cp:lastPrinted>
  <dcterms:created xsi:type="dcterms:W3CDTF">2026-03-26T10:07:00Z</dcterms:created>
  <dcterms:modified xsi:type="dcterms:W3CDTF">2026-04-08T09:50:00Z</dcterms:modified>
</cp:coreProperties>
</file>